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907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ПРОЕКТ                                                      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  </w:t>
        <w:tab/>
        <w:tab/>
        <w:tab/>
        <w:tab/>
        <w:t xml:space="preserve">      </w:t>
      </w:r>
    </w:p>
    <w:p>
      <w:pPr>
        <w:spacing w:before="0" w:after="0" w:line="240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</w:t>
      </w:r>
    </w:p>
    <w:p>
      <w:pPr>
        <w:spacing w:before="0" w:after="0" w:line="240"/>
        <w:ind w:right="0" w:left="-709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-709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85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57" w:left="11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рограммы профилактики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рисков причинения вреда (ущерба) охраняемым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законом ценностям в сфере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муниципального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жилищного контроля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муниципальном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районе Исаклинский Самарской области на 2022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соответствии со статьей 44 Федерального закона от 31.07.2020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248-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постановлением Правительства Российской Федерации от 25.06.2021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 990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Администрация муниципального района Исаклинский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Утвердить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рограмму профилактики рисков причинения вреда (ущерба) охраняемым законом ценностям в сфере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муниципального жилищного контроля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6"/>
          <w:shd w:fill="auto" w:val="clear"/>
        </w:rPr>
        <w:t xml:space="preserve"> в границах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муниципального района Исаклинский Самарской области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 2022 год согласно приложению.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Утвердить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рограмму профилактики рисков причинения вреда (ущерба) охраняемым законом ценностям в сфере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муниципального жилищного контроля в муниципальном района Исаклинский Самарской области на 2022 год согласно приложению.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Официальный вестник муниципального района Исаклинский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разместить в сети Интернет на официальном сайте   Администрации муниципального района Исаклинский Самарской области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Контрольно-надзорная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исполнением настоящего постановления возложить на и.о. начальника отдела по контрольной деятельности Администрации муниципального района Исаклинский Самарской области.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0" w:leader="none"/>
          <w:tab w:val="left" w:pos="729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 муниципального 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района Исаклинский                                                                                              В.Д. Ятманкин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5211"/>
        <w:gridCol w:w="5211"/>
      </w:tblGrid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52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</w:t>
            </w:r>
          </w:p>
          <w:p>
            <w:pPr>
              <w:spacing w:before="0" w:after="0" w:line="240"/>
              <w:ind w:right="0" w:left="0" w:firstLine="54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 Постановлению Администрации</w:t>
            </w:r>
          </w:p>
          <w:p>
            <w:pPr>
              <w:spacing w:before="0" w:after="0" w:line="240"/>
              <w:ind w:right="0" w:left="0" w:firstLine="54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района Исаклинский</w:t>
            </w:r>
          </w:p>
          <w:p>
            <w:pPr>
              <w:spacing w:before="0" w:after="0" w:line="240"/>
              <w:ind w:right="0" w:left="0" w:firstLine="54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________2021 года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рограмма профилактики рисков причинения вреда (ущерба) охраняемым законом ценностям в сфере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муниципального жилищного контроля</w:t>
      </w:r>
      <w:r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8"/>
          <w:shd w:fill="auto" w:val="clear"/>
        </w:rPr>
        <w:t xml:space="preserve"> в границах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муниципального района Исаклинский Самарской области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 2022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профилактики)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31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Анализ текущего состояния осуществления вида контроля, 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 текущего состояния осуществления вида контроля.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принятием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Федерального закона от 11.06.2021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170-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Федеральный закон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170-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ФЗ) к предмету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муниципального жилищного контроля в муниц ипальноч районе Исаклинский Самарской области (далее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муниципальный жилищный контроль)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было отнесено соблюдение юридическими лицами, индивидуальными предпринимателями, гражданами (далее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требований к формированию фондов капитального ремонта;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требований к обеспечению доступности для инвалидов помещений в многоквартирных домах;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требований к предоставлению жилых помещений в наемных домах социального использования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принятия Федерального закона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170-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муниципальный жилищный 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Федеральным законом от 26.12.2008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294-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системной основе не осуществлялся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Муниципальный жилищный контроль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жилищного законодательства,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законодательства об энергосбережении и о повышении энергетической эффективности в отношении муниципального жилищного фонда, предусмотренных Кодексом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об административных правонарушениях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Самарской области в области жилищных отношений, были привлечены к административной ответственности.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Кроме того, следует отметить, что Федеральным законом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170-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Описание текущего развития профилактической деятельности контрольного органа.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Профилактическая деятельность в соответствии с Федеральным законом от 26.12.2008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294-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Администрацией муниципального района Исаклинский Самарской области (далее также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Администрация района или контрольный орган) на системной основе не осуществлялась.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проблемам, на решение которых направлена программа профилактики, относятся случаи: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нарушения санитарно-эпидемиологических требований к эксплуатации жилых помещений муниципального жилищного фонда;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(;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нарушения нормативного уровня или режима обеспечения населения коммунальными услугами;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нарушения порядка расчета и корректировки платы за предоставленные коммунальные услуги;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невыполнения в установленный срок предписания об устранении выявленного нарушения обязательных требований.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Мероприятия программы профилактики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будут способствовать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>
      <w:pPr>
        <w:spacing w:before="100" w:after="1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Цели и задачи реализации программы профилактики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Целями профилактики рисков причинения вреда (ущерба) охраняемым законом ценностям являются: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стимулирование добросовестного соблюдения обязательных требований всеми контролируемыми лицами;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достижения целей профилактики рисков причинения вреда (ущерба) охраняемым законом ценностям выполняются следующие задачи: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 выявленных в результате проведения муниципального жилищного контроля нарушений обязательных требований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и проведение профилактических мероприятий с учетом состояния подконтрольной среды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PT Serif" w:hAnsi="PT Serif" w:cs="PT Serif" w:eastAsia="PT Serif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  <w:t xml:space="preserve">Перечень профилактических мероприятий,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  <w:t xml:space="preserve">сроки (периодичность) их проведения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Перечень профилактических мероприятий, сроки (периодичность) их проведения представлены в таблице.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490"/>
        <w:gridCol w:w="2645"/>
        <w:gridCol w:w="3123"/>
        <w:gridCol w:w="1990"/>
        <w:gridCol w:w="1937"/>
      </w:tblGrid>
      <w:tr>
        <w:trPr>
          <w:trHeight w:val="1" w:hRule="atLeast"/>
          <w:jc w:val="left"/>
        </w:trPr>
        <w:tc>
          <w:tcPr>
            <w:tcW w:w="4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 мероприятия</w:t>
            </w:r>
          </w:p>
        </w:tc>
        <w:tc>
          <w:tcPr>
            <w:tcW w:w="3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 мероприятия</w:t>
            </w: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Срок реализации мероприятия</w:t>
            </w:r>
          </w:p>
        </w:tc>
        <w:tc>
          <w:tcPr>
            <w:tcW w:w="19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Ответственный за реализацию мероприятия исполнитель</w:t>
            </w:r>
          </w:p>
        </w:tc>
      </w:tr>
      <w:tr>
        <w:trPr>
          <w:trHeight w:val="1" w:hRule="atLeast"/>
          <w:jc w:val="left"/>
        </w:trPr>
        <w:tc>
          <w:tcPr>
            <w:tcW w:w="490" w:type="dxa"/>
            <w:vMerge w:val="restart"/>
            <w:tcBorders>
              <w:top w:val="single" w:color="000000" w:sz="6"/>
              <w:left w:val="single" w:color="000000" w:sz="6"/>
              <w:bottom w:val="single" w:color="836967" w:sz="0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45" w:type="dxa"/>
            <w:vMerge w:val="restart"/>
            <w:tcBorders>
              <w:top w:val="single" w:color="000000" w:sz="6"/>
              <w:left w:val="single" w:color="000000" w:sz="6"/>
              <w:bottom w:val="single" w:color="836967" w:sz="0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>
            <w:pPr>
              <w:spacing w:before="0" w:after="0" w:line="240"/>
              <w:ind w:right="0" w:left="0" w:firstLine="18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187"/>
              <w:jc w:val="left"/>
              <w:rPr>
                <w:spacing w:val="0"/>
                <w:position w:val="0"/>
              </w:rPr>
            </w:pPr>
          </w:p>
        </w:tc>
        <w:tc>
          <w:tcPr>
            <w:tcW w:w="3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Размещение сведений по вопросам соблюдения обязательных требований на официальном сайте администрации в разделе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Контрольно-надзорная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Ежегодно,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19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Администрация,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точное название структурного подразделения, если имеется),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название должности ответственного за реализацию мероприятия должностного лица)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" w:type="dxa"/>
            <w:vMerge/>
            <w:tcBorders>
              <w:top w:val="single" w:color="836967" w:sz="0"/>
              <w:left w:val="single" w:color="000000" w:sz="6"/>
              <w:bottom w:val="single" w:color="836967" w:sz="0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5" w:type="dxa"/>
            <w:vMerge/>
            <w:tcBorders>
              <w:top w:val="single" w:color="836967" w:sz="0"/>
              <w:left w:val="single" w:color="000000" w:sz="6"/>
              <w:bottom w:val="single" w:color="836967" w:sz="0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Размещение сведений по вопросам соблюдения обязательных требований в средствах массовой информации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Ежеквартально</w:t>
            </w:r>
          </w:p>
        </w:tc>
        <w:tc>
          <w:tcPr>
            <w:tcW w:w="19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Администрация,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точное название структурного подразделения, если имеется),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название должности ответственного за реализацию мероприятия должностного лица)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" w:type="dxa"/>
            <w:vMerge/>
            <w:tcBorders>
              <w:top w:val="single" w:color="836967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5" w:type="dxa"/>
            <w:vMerge/>
            <w:tcBorders>
              <w:top w:val="single" w:color="836967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Размещение сведений по вопросам соблюдения обязательных требований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Ежегодно,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19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Администрация,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точное название структурного подразделения, если имеется),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название должности ответственного за реализацию мероприятия должностного лица)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" w:type="dxa"/>
            <w:vMerge w:val="restart"/>
            <w:tcBorders>
              <w:top w:val="single" w:color="000000" w:sz="6"/>
              <w:left w:val="single" w:color="000000" w:sz="6"/>
              <w:bottom w:val="single" w:color="836967" w:sz="0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45" w:type="dxa"/>
            <w:vMerge w:val="restart"/>
            <w:tcBorders>
              <w:top w:val="single" w:color="000000" w:sz="6"/>
              <w:left w:val="single" w:color="000000" w:sz="6"/>
              <w:bottom w:val="single" w:color="836967" w:sz="0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Подготовка доклада о правоприменительной практике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Администрация,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точное название структурного подразделения, если имеется),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название должности ответственного за реализацию мероприятия должностного лица)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" w:type="dxa"/>
            <w:vMerge/>
            <w:tcBorders>
              <w:top w:val="single" w:color="836967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5" w:type="dxa"/>
            <w:vMerge/>
            <w:tcBorders>
              <w:top w:val="single" w:color="836967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Размещение доклада о правоприменительной практике на официальном сайте администрации в разделе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Контрольно-надзорная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Администрация,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точное название структурного подразделения, если имеется),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название должности ответственного за реализацию мероприятия должностного лица)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или признаках нарушений обязательных требований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мере выявления готовящихся нарушений обязательных требований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или признаков нарушений обязательных требований,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позднее 30 дней со дня получения администрацией указанных сведений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Администрация,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точное название структурного подразделения, если имеется),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название должности ответственного за реализацию мероприятия должностного лица)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" w:type="dxa"/>
            <w:vMerge w:val="restart"/>
            <w:tcBorders>
              <w:top w:val="single" w:color="000000" w:sz="6"/>
              <w:left w:val="single" w:color="000000" w:sz="6"/>
              <w:bottom w:val="single" w:color="836967" w:sz="0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45" w:type="dxa"/>
            <w:vMerge w:val="restart"/>
            <w:tcBorders>
              <w:top w:val="single" w:color="000000" w:sz="6"/>
              <w:left w:val="single" w:color="000000" w:sz="6"/>
              <w:bottom w:val="single" w:color="836967" w:sz="0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и осуществление муниципального жилищного контроля;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порядок осуществления контрольных мероприятий;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Консультирование контролируемых лиц в устной форме по телефону, по видео-конференц-связи и на личном приеме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обращении лица, нуждающегося в консультировании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Администрация,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точное название структурного подразделения, если имеется),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название должности ответственного за реализацию мероприятия должностного лица)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" w:type="dxa"/>
            <w:vMerge/>
            <w:tcBorders>
              <w:top w:val="single" w:color="836967" w:sz="0"/>
              <w:left w:val="single" w:color="000000" w:sz="6"/>
              <w:bottom w:val="single" w:color="836967" w:sz="0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5" w:type="dxa"/>
            <w:vMerge/>
            <w:tcBorders>
              <w:top w:val="single" w:color="836967" w:sz="0"/>
              <w:left w:val="single" w:color="000000" w:sz="6"/>
              <w:bottom w:val="single" w:color="836967" w:sz="0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Администрация,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точное название структурного подразделения, если имеется),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название должности ответственного за реализацию мероприятия должностного лица)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" w:type="dxa"/>
            <w:vMerge/>
            <w:tcBorders>
              <w:top w:val="single" w:color="836967" w:sz="0"/>
              <w:left w:val="single" w:color="000000" w:sz="6"/>
              <w:bottom w:val="single" w:color="836967" w:sz="0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5" w:type="dxa"/>
            <w:vMerge/>
            <w:tcBorders>
              <w:top w:val="single" w:color="836967" w:sz="0"/>
              <w:left w:val="single" w:color="000000" w:sz="6"/>
              <w:bottom w:val="single" w:color="836967" w:sz="0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Консультирование контролируемых лиц путем размещения на официальном сайте администрации в разделе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Контрольно-надзорная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письменного разъяснения, подписанного главой (заместителем главы) _______________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(наименование муниципального образования)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течение 30 дней со дня регистрации администрацией пятого однотипного обращения контролируемых лиц и их представителей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Администрация,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точное название структурного подразделения, если имеется),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название должности ответственного за реализацию мероприятия должностного лица)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" w:type="dxa"/>
            <w:tcBorders>
              <w:top w:val="single" w:color="836967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5" w:type="dxa"/>
            <w:tcBorders>
              <w:top w:val="single" w:color="836967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Администрация,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точное название структурного подразделения, если имеется),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___________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(указать название должности ответственного за реализацию мероприятия должностного лица)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  <w:t xml:space="preserve">Показатели результативности и эффективности программы профилактики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auto" w:val="clear"/>
        </w:rPr>
        <w:t xml:space="preserve">Показатели результативности программы профилактики определяются в соответствии со следующей таблицей.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29"/>
        <w:gridCol w:w="6237"/>
        <w:gridCol w:w="2552"/>
      </w:tblGrid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измерения, свидетельствующая о максимальной результативности программы профилактики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31.07.2020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248-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100 %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случаев объявления предостережений в общем количестве случаев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выявления готовящихся нарушений обязательных требований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100 %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имелись случаи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выявления готовящихся нарушений обязательных требований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или признаков нарушений обязательных требований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2272F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 оценкой эффективности </w:t>
      </w:r>
      <w:r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  <w:t xml:space="preserve">программы профилактики понимается оценка изменения количества нарушений обязательных требований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по итогам проведенных профилактических мероприятий.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Текущая (ежеквартальная) оценка результативности и эффективности </w:t>
      </w:r>
      <w:r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  <w:t xml:space="preserve">программы профилактики осуществляется Главой муниципального района Исаклинский Самарской области.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Ежегодная оценка результативности и эффективности </w:t>
      </w:r>
      <w:r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  <w:t xml:space="preserve">программы профилактики осуществляется Собранием представителей муниципального района Исаклинский Самарской области.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Для осуществления ежегодной оценки результативности и эффективности </w:t>
      </w:r>
      <w:r>
        <w:rPr>
          <w:rFonts w:ascii="Times New Roman" w:hAnsi="Times New Roman" w:cs="Times New Roman" w:eastAsia="Times New Roman"/>
          <w:color w:val="22272F"/>
          <w:spacing w:val="0"/>
          <w:position w:val="0"/>
          <w:sz w:val="28"/>
          <w:shd w:fill="FFFFFF" w:val="clear"/>
        </w:rPr>
        <w:t xml:space="preserve">программы профилактики Администрацией района не позднее 1 июля 2023 года (года, следующего за отчетным) в Собрание представителейт муниципального района Исаклинский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