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bookmarkEnd w:id="0"/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</w:t>
      </w:r>
      <w:proofErr w:type="gramEnd"/>
      <w:r w:rsidRPr="00C46AAD">
        <w:rPr>
          <w:rFonts w:ascii="Times New Roman" w:hAnsi="Times New Roman" w:cs="Times New Roman"/>
        </w:rPr>
        <w:t xml:space="preserve">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6AAD">
        <w:rPr>
          <w:rFonts w:ascii="Times New Roman" w:hAnsi="Times New Roman" w:cs="Times New Roman"/>
        </w:rPr>
        <w:t>за собой наложение административного штрафа в размере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</w:t>
      </w:r>
      <w:proofErr w:type="gramEnd"/>
      <w:r w:rsidRPr="00C46AAD">
        <w:rPr>
          <w:rFonts w:ascii="Times New Roman" w:hAnsi="Times New Roman" w:cs="Times New Roman"/>
        </w:rPr>
        <w:t xml:space="preserve"> за пределы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</w:t>
      </w:r>
      <w:proofErr w:type="gramStart"/>
      <w:r w:rsidRPr="00C46AAD">
        <w:rPr>
          <w:rFonts w:ascii="Times New Roman" w:hAnsi="Times New Roman" w:cs="Times New Roman"/>
        </w:rPr>
        <w:t>чья</w:t>
      </w:r>
      <w:proofErr w:type="gramEnd"/>
      <w:r w:rsidRPr="00C46AAD">
        <w:rPr>
          <w:rFonts w:ascii="Times New Roman" w:hAnsi="Times New Roman" w:cs="Times New Roman"/>
        </w:rPr>
        <w:t xml:space="preserve"> </w:t>
      </w:r>
      <w:proofErr w:type="gramStart"/>
      <w:r w:rsidRPr="00C46AAD">
        <w:rPr>
          <w:rFonts w:ascii="Times New Roman" w:hAnsi="Times New Roman" w:cs="Times New Roman"/>
        </w:rPr>
        <w:t xml:space="preserve">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 </w:t>
      </w:r>
      <w:proofErr w:type="gramEnd"/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proofErr w:type="gramStart"/>
      <w:r w:rsidRPr="007C3851">
        <w:rPr>
          <w:rFonts w:ascii="Times New Roman" w:hAnsi="Times New Roman" w:cs="Times New Roman"/>
        </w:rPr>
        <w:lastRenderedPageBreak/>
        <w:t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7C3851">
        <w:rPr>
          <w:rFonts w:ascii="Times New Roman" w:hAnsi="Times New Roman" w:cs="Times New Roman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7C3851">
        <w:rPr>
          <w:rFonts w:ascii="Times New Roman" w:hAnsi="Times New Roman" w:cs="Times New Roman"/>
        </w:rPr>
        <w:t>с даты заключения</w:t>
      </w:r>
      <w:proofErr w:type="gramEnd"/>
      <w:r w:rsidRPr="007C3851">
        <w:rPr>
          <w:rFonts w:ascii="Times New Roman" w:hAnsi="Times New Roman" w:cs="Times New Roman"/>
        </w:rPr>
        <w:t xml:space="preserve">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proofErr w:type="gramEnd"/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</w:t>
      </w:r>
      <w:proofErr w:type="gramEnd"/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>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E"/>
    <w:rsid w:val="000240E9"/>
    <w:rsid w:val="000F5D0E"/>
    <w:rsid w:val="002211C3"/>
    <w:rsid w:val="0028066B"/>
    <w:rsid w:val="00421EAD"/>
    <w:rsid w:val="004D1C10"/>
    <w:rsid w:val="006868FF"/>
    <w:rsid w:val="00771DC5"/>
    <w:rsid w:val="007C3851"/>
    <w:rsid w:val="0092776E"/>
    <w:rsid w:val="00937BFE"/>
    <w:rsid w:val="00C46AAD"/>
    <w:rsid w:val="00C722CA"/>
    <w:rsid w:val="00DE5C5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samregion.ru/category/deyatelnost/migratsionnay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1</cp:lastModifiedBy>
  <cp:revision>2</cp:revision>
  <dcterms:created xsi:type="dcterms:W3CDTF">2023-12-26T10:48:00Z</dcterms:created>
  <dcterms:modified xsi:type="dcterms:W3CDTF">2023-12-26T10:48:00Z</dcterms:modified>
</cp:coreProperties>
</file>