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C" w:rsidRPr="00AB53CC" w:rsidRDefault="00A12A8C" w:rsidP="000F1384">
      <w:pPr>
        <w:spacing w:line="360" w:lineRule="auto"/>
        <w:jc w:val="right"/>
      </w:pPr>
      <w:r w:rsidRPr="00AB53CC">
        <w:t xml:space="preserve">Приложение </w:t>
      </w:r>
    </w:p>
    <w:p w:rsidR="00A12A8C" w:rsidRPr="00AB53CC" w:rsidRDefault="00A12A8C" w:rsidP="000F1384">
      <w:pPr>
        <w:spacing w:line="360" w:lineRule="auto"/>
        <w:jc w:val="right"/>
      </w:pPr>
      <w:r w:rsidRPr="00AB53CC">
        <w:t>к постановлению Администрации</w:t>
      </w:r>
    </w:p>
    <w:p w:rsidR="00A12A8C" w:rsidRPr="00AB53CC" w:rsidRDefault="00A12A8C" w:rsidP="000F1384">
      <w:pPr>
        <w:spacing w:line="360" w:lineRule="auto"/>
        <w:jc w:val="right"/>
      </w:pPr>
      <w:r w:rsidRPr="00AB53CC">
        <w:t xml:space="preserve">муниципального района Исаклинский </w:t>
      </w:r>
    </w:p>
    <w:p w:rsidR="00A12A8C" w:rsidRDefault="00A12A8C" w:rsidP="000F1384">
      <w:pPr>
        <w:spacing w:line="360" w:lineRule="auto"/>
        <w:jc w:val="right"/>
      </w:pPr>
      <w:r w:rsidRPr="00AB53CC">
        <w:t xml:space="preserve">от </w:t>
      </w:r>
      <w:r w:rsidR="00F64E95">
        <w:t>03.04.2019</w:t>
      </w:r>
      <w:r w:rsidRPr="00AB53CC">
        <w:t xml:space="preserve"> года № </w:t>
      </w:r>
      <w:r w:rsidR="00F64E95">
        <w:t>243</w:t>
      </w:r>
    </w:p>
    <w:p w:rsidR="00F64E95" w:rsidRDefault="00F64E95" w:rsidP="000F1384">
      <w:pPr>
        <w:spacing w:line="360" w:lineRule="auto"/>
        <w:jc w:val="right"/>
      </w:pPr>
    </w:p>
    <w:p w:rsidR="00F64E95" w:rsidRPr="00F94F36" w:rsidRDefault="00F64E95" w:rsidP="000F1384">
      <w:pPr>
        <w:pStyle w:val="3"/>
        <w:spacing w:before="0" w:after="255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Порядок </w:t>
      </w:r>
      <w:r w:rsidR="00FA38C4">
        <w:rPr>
          <w:rFonts w:ascii="Times New Roman" w:hAnsi="Times New Roman" w:cs="Times New Roman"/>
          <w:color w:val="333333"/>
          <w:sz w:val="28"/>
          <w:szCs w:val="28"/>
        </w:rPr>
        <w:t>создания</w:t>
      </w:r>
      <w:r w:rsidRPr="00F94F36">
        <w:rPr>
          <w:rFonts w:ascii="Times New Roman" w:hAnsi="Times New Roman" w:cs="Times New Roman"/>
          <w:color w:val="333333"/>
          <w:sz w:val="28"/>
          <w:szCs w:val="28"/>
        </w:rPr>
        <w:t xml:space="preserve"> мест (площадок) накопления твердых коммунальных отходов и ведения их реестра</w:t>
      </w:r>
    </w:p>
    <w:p w:rsidR="00F64E95" w:rsidRPr="00F94F36" w:rsidRDefault="00F64E95" w:rsidP="000F1384">
      <w:pPr>
        <w:pStyle w:val="3"/>
        <w:spacing w:before="0" w:after="255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>I. Общие положения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1. Настоящие Правила определяют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содержанию указанного реестра.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F64E95" w:rsidRPr="00F94F36" w:rsidRDefault="00F64E95" w:rsidP="000F1384">
      <w:pPr>
        <w:pStyle w:val="3"/>
        <w:spacing w:before="0" w:after="25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 xml:space="preserve">II. Порядок </w:t>
      </w:r>
      <w:r w:rsidR="00FA38C4">
        <w:rPr>
          <w:rFonts w:ascii="Times New Roman" w:hAnsi="Times New Roman" w:cs="Times New Roman"/>
          <w:color w:val="333333"/>
          <w:sz w:val="28"/>
          <w:szCs w:val="28"/>
        </w:rPr>
        <w:t>создания</w:t>
      </w:r>
      <w:r w:rsidRPr="00F94F36">
        <w:rPr>
          <w:rFonts w:ascii="Times New Roman" w:hAnsi="Times New Roman" w:cs="Times New Roman"/>
          <w:color w:val="333333"/>
          <w:sz w:val="28"/>
          <w:szCs w:val="28"/>
        </w:rPr>
        <w:t xml:space="preserve"> мест (площадок) накопления твердых коммунальных отходов</w:t>
      </w:r>
    </w:p>
    <w:p w:rsidR="00F64E95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3. Места (площадки) накопления твердых коммунальных отходов</w:t>
      </w:r>
      <w:r w:rsidR="004613DE">
        <w:rPr>
          <w:color w:val="000000"/>
          <w:sz w:val="28"/>
          <w:szCs w:val="28"/>
        </w:rPr>
        <w:t xml:space="preserve"> </w:t>
      </w:r>
      <w:r w:rsidR="00FA38C4">
        <w:rPr>
          <w:color w:val="000000"/>
          <w:sz w:val="28"/>
          <w:szCs w:val="28"/>
        </w:rPr>
        <w:t>создаются</w:t>
      </w:r>
      <w:r w:rsidRPr="00F94F36">
        <w:rPr>
          <w:color w:val="000000"/>
          <w:sz w:val="28"/>
          <w:szCs w:val="28"/>
        </w:rPr>
        <w:t xml:space="preserve"> сельскими поселениями муниципального района Исаклинский, за исключением установленных законодательством Российской Федерации случаев, когда такая обязанность лежит на других лицах. </w:t>
      </w:r>
      <w:r>
        <w:rPr>
          <w:color w:val="000000"/>
          <w:sz w:val="28"/>
          <w:szCs w:val="28"/>
        </w:rPr>
        <w:t>С</w:t>
      </w:r>
      <w:r w:rsidRPr="00F94F36">
        <w:rPr>
          <w:color w:val="000000"/>
          <w:sz w:val="28"/>
          <w:szCs w:val="28"/>
        </w:rPr>
        <w:t xml:space="preserve">ельские поселения муниципального района Исаклинский </w:t>
      </w:r>
      <w:r w:rsidR="00FA38C4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ют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4613DE" w:rsidRPr="00F94F36" w:rsidRDefault="004613DE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4. </w:t>
      </w:r>
      <w:proofErr w:type="gramStart"/>
      <w:r w:rsidRPr="00F94F36">
        <w:rPr>
          <w:color w:val="000000"/>
          <w:sz w:val="28"/>
          <w:szCs w:val="28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</w:t>
      </w:r>
      <w:bookmarkStart w:id="0" w:name="_Hlk534787401"/>
      <w:r w:rsidR="00FA38C4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 </w:t>
      </w:r>
      <w:bookmarkEnd w:id="0"/>
      <w:r w:rsidRPr="00F94F36">
        <w:rPr>
          <w:color w:val="000000"/>
          <w:sz w:val="28"/>
          <w:szCs w:val="28"/>
        </w:rPr>
        <w:t xml:space="preserve">с Администрацией муниципального района Исаклинский (далее соответственно - заявитель, </w:t>
      </w:r>
      <w:r>
        <w:rPr>
          <w:color w:val="000000"/>
          <w:sz w:val="28"/>
          <w:szCs w:val="28"/>
        </w:rPr>
        <w:t>Администрация района</w:t>
      </w:r>
      <w:r w:rsidRPr="00F94F36">
        <w:rPr>
          <w:color w:val="000000"/>
          <w:sz w:val="28"/>
          <w:szCs w:val="28"/>
        </w:rPr>
        <w:t>) на основании письменной заявки</w:t>
      </w:r>
      <w:r>
        <w:rPr>
          <w:color w:val="000000"/>
          <w:sz w:val="28"/>
          <w:szCs w:val="28"/>
        </w:rPr>
        <w:t xml:space="preserve"> на согласование по форме в соответствии с приложением 1 </w:t>
      </w:r>
      <w:r w:rsidRPr="00206BD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="00FA38C4">
        <w:rPr>
          <w:sz w:val="28"/>
          <w:szCs w:val="28"/>
        </w:rPr>
        <w:t>созда</w:t>
      </w:r>
      <w:r>
        <w:rPr>
          <w:sz w:val="28"/>
          <w:szCs w:val="28"/>
        </w:rPr>
        <w:t>ния</w:t>
      </w:r>
      <w:r w:rsidRPr="00206BD6">
        <w:rPr>
          <w:sz w:val="28"/>
          <w:szCs w:val="28"/>
        </w:rPr>
        <w:t xml:space="preserve"> мест (площадок</w:t>
      </w:r>
      <w:proofErr w:type="gramEnd"/>
      <w:r w:rsidRPr="00206BD6">
        <w:rPr>
          <w:sz w:val="28"/>
          <w:szCs w:val="28"/>
        </w:rPr>
        <w:t xml:space="preserve">) накопления твердых коммунальных отходов и ведения их реестра. 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Администрация муниципального района Исаклинский (далее-Администрация района) </w:t>
      </w:r>
      <w:r w:rsidRPr="00F94F36">
        <w:rPr>
          <w:color w:val="000000"/>
          <w:sz w:val="28"/>
          <w:szCs w:val="28"/>
        </w:rPr>
        <w:t>рассматривает заявку в срок не позднее 10 календарных дней со дня ее поступления.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</w:t>
      </w:r>
      <w:r>
        <w:rPr>
          <w:color w:val="000000"/>
          <w:sz w:val="28"/>
          <w:szCs w:val="28"/>
        </w:rPr>
        <w:t xml:space="preserve">Администрация района </w:t>
      </w:r>
      <w:r w:rsidRPr="00F94F36">
        <w:rPr>
          <w:color w:val="000000"/>
          <w:sz w:val="28"/>
          <w:szCs w:val="28"/>
        </w:rPr>
        <w:t xml:space="preserve"> запрашивает </w:t>
      </w:r>
      <w:r>
        <w:rPr>
          <w:color w:val="000000"/>
          <w:sz w:val="28"/>
          <w:szCs w:val="28"/>
        </w:rPr>
        <w:t xml:space="preserve">заключение с Филиала ФБУЗ «Центр гигиены и эпидемиологии в Самарской области в Сергиевском районе» </w:t>
      </w:r>
      <w:r w:rsidRPr="00F94F36">
        <w:rPr>
          <w:color w:val="000000"/>
          <w:sz w:val="28"/>
          <w:szCs w:val="28"/>
        </w:rPr>
        <w:t>(далее - запрос).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>
        <w:rPr>
          <w:color w:val="000000"/>
          <w:sz w:val="28"/>
          <w:szCs w:val="28"/>
        </w:rPr>
        <w:t xml:space="preserve">Администрации района </w:t>
      </w:r>
      <w:r w:rsidRPr="00F94F36">
        <w:rPr>
          <w:color w:val="000000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>
        <w:rPr>
          <w:color w:val="000000"/>
          <w:sz w:val="28"/>
          <w:szCs w:val="28"/>
        </w:rPr>
        <w:t>Администрацией района</w:t>
      </w:r>
      <w:r w:rsidRPr="00F94F36">
        <w:rPr>
          <w:color w:val="000000"/>
          <w:sz w:val="28"/>
          <w:szCs w:val="28"/>
        </w:rPr>
        <w:t xml:space="preserve"> направляется соответствующее уведомление.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7. По результатам рассмотрения заявки </w:t>
      </w:r>
      <w:r>
        <w:rPr>
          <w:color w:val="000000"/>
          <w:sz w:val="28"/>
          <w:szCs w:val="28"/>
        </w:rPr>
        <w:t>Администрация района</w:t>
      </w:r>
      <w:r w:rsidRPr="00F94F36">
        <w:rPr>
          <w:color w:val="000000"/>
          <w:sz w:val="28"/>
          <w:szCs w:val="28"/>
        </w:rPr>
        <w:t xml:space="preserve"> принимает решение о согласовании или отказе в согласовании </w:t>
      </w:r>
      <w:r w:rsidR="00FA38C4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ния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8. Основаниями отказа </w:t>
      </w:r>
      <w:r>
        <w:rPr>
          <w:color w:val="000000"/>
          <w:sz w:val="28"/>
          <w:szCs w:val="28"/>
        </w:rPr>
        <w:t>Администрации района</w:t>
      </w:r>
      <w:r w:rsidRPr="00F94F36">
        <w:rPr>
          <w:color w:val="000000"/>
          <w:sz w:val="28"/>
          <w:szCs w:val="28"/>
        </w:rPr>
        <w:t xml:space="preserve"> в согласовании </w:t>
      </w:r>
      <w:r w:rsidR="00FA38C4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ния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 являются:</w:t>
      </w:r>
    </w:p>
    <w:p w:rsidR="005C591D" w:rsidRDefault="005C591D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lastRenderedPageBreak/>
        <w:t>а) несоответствие заявки установленной форме;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б) несоответствие места (площадки) накопления твердых коммунальных отходов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9. О принятом решении </w:t>
      </w:r>
      <w:r>
        <w:rPr>
          <w:color w:val="000000"/>
          <w:sz w:val="28"/>
          <w:szCs w:val="28"/>
        </w:rPr>
        <w:t>Администрация района</w:t>
      </w:r>
      <w:r w:rsidRPr="00F94F36">
        <w:rPr>
          <w:color w:val="000000"/>
          <w:sz w:val="28"/>
          <w:szCs w:val="28"/>
        </w:rPr>
        <w:t xml:space="preserve"> уведомляет заявителя в срок, </w:t>
      </w:r>
      <w:r w:rsidRPr="005F6111">
        <w:rPr>
          <w:sz w:val="28"/>
          <w:szCs w:val="28"/>
        </w:rPr>
        <w:t>установленный </w:t>
      </w:r>
      <w:hyperlink r:id="rId8" w:anchor="5" w:history="1">
        <w:r w:rsidRPr="00206BD6">
          <w:rPr>
            <w:rStyle w:val="a9"/>
            <w:sz w:val="28"/>
            <w:szCs w:val="28"/>
            <w:bdr w:val="none" w:sz="0" w:space="0" w:color="auto" w:frame="1"/>
          </w:rPr>
          <w:t>пунктами 5</w:t>
        </w:r>
      </w:hyperlink>
      <w:r w:rsidRPr="00206BD6">
        <w:rPr>
          <w:sz w:val="28"/>
          <w:szCs w:val="28"/>
        </w:rPr>
        <w:t> и </w:t>
      </w:r>
      <w:hyperlink r:id="rId9" w:anchor="6" w:history="1">
        <w:r w:rsidRPr="00206BD6">
          <w:rPr>
            <w:rStyle w:val="a9"/>
            <w:sz w:val="28"/>
            <w:szCs w:val="28"/>
            <w:bdr w:val="none" w:sz="0" w:space="0" w:color="auto" w:frame="1"/>
          </w:rPr>
          <w:t>6</w:t>
        </w:r>
      </w:hyperlink>
      <w:r w:rsidRPr="005F6111">
        <w:rPr>
          <w:sz w:val="28"/>
          <w:szCs w:val="28"/>
        </w:rPr>
        <w:t> </w:t>
      </w:r>
      <w:r w:rsidRPr="00F94F36">
        <w:rPr>
          <w:color w:val="000000"/>
          <w:sz w:val="28"/>
          <w:szCs w:val="28"/>
        </w:rPr>
        <w:t xml:space="preserve">настоящих Правил. В решении об отказе в согласовании </w:t>
      </w:r>
      <w:r w:rsidR="00FA38C4">
        <w:rPr>
          <w:color w:val="000000"/>
          <w:sz w:val="28"/>
          <w:szCs w:val="28"/>
        </w:rPr>
        <w:t>создания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 в обязательном порядке указывается основание такого отказа.</w:t>
      </w:r>
    </w:p>
    <w:p w:rsidR="00F64E95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 xml:space="preserve">10. После устранения основания отказа в согласовании </w:t>
      </w:r>
      <w:r w:rsidR="00FA38C4">
        <w:rPr>
          <w:color w:val="000000"/>
          <w:sz w:val="28"/>
          <w:szCs w:val="28"/>
        </w:rPr>
        <w:t>созда</w:t>
      </w:r>
      <w:r w:rsidR="00D66F43">
        <w:rPr>
          <w:color w:val="000000"/>
          <w:sz w:val="28"/>
          <w:szCs w:val="28"/>
        </w:rPr>
        <w:t>ния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 заявитель вправе повторно обратиться в </w:t>
      </w:r>
      <w:r>
        <w:rPr>
          <w:color w:val="000000"/>
          <w:sz w:val="28"/>
          <w:szCs w:val="28"/>
        </w:rPr>
        <w:t>Администрацию района</w:t>
      </w:r>
      <w:r w:rsidRPr="00F94F36">
        <w:rPr>
          <w:color w:val="000000"/>
          <w:sz w:val="28"/>
          <w:szCs w:val="28"/>
        </w:rPr>
        <w:t xml:space="preserve"> за согласованием </w:t>
      </w:r>
      <w:r w:rsidR="00FA38C4">
        <w:rPr>
          <w:color w:val="000000"/>
          <w:sz w:val="28"/>
          <w:szCs w:val="28"/>
        </w:rPr>
        <w:t>создан</w:t>
      </w:r>
      <w:r w:rsidR="00D66F43">
        <w:rPr>
          <w:color w:val="000000"/>
          <w:sz w:val="28"/>
          <w:szCs w:val="28"/>
        </w:rPr>
        <w:t>ия</w:t>
      </w:r>
      <w:r w:rsidRPr="00F94F36">
        <w:rPr>
          <w:color w:val="000000"/>
          <w:sz w:val="28"/>
          <w:szCs w:val="28"/>
        </w:rPr>
        <w:t xml:space="preserve"> места (площадки) накопления твердых коммунальных отходов в порядке, установленном настоящим разделом Правил.</w:t>
      </w:r>
    </w:p>
    <w:p w:rsidR="004613DE" w:rsidRPr="00F94F36" w:rsidRDefault="004613DE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П</w:t>
      </w:r>
      <w:r>
        <w:rPr>
          <w:color w:val="000000"/>
          <w:sz w:val="28"/>
          <w:szCs w:val="28"/>
        </w:rPr>
        <w:t>орядок содержания мест (площадок) накопления твердых коммунальных отходов</w:t>
      </w:r>
      <w:r>
        <w:rPr>
          <w:color w:val="000000"/>
          <w:sz w:val="28"/>
          <w:szCs w:val="28"/>
        </w:rPr>
        <w:t xml:space="preserve"> определяются органами местного самоуправления сельских поселений в соответствии с</w:t>
      </w:r>
      <w:r w:rsidR="005C591D">
        <w:rPr>
          <w:color w:val="000000"/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>компетенцие</w:t>
      </w:r>
      <w:r w:rsidR="005C591D">
        <w:rPr>
          <w:color w:val="000000"/>
          <w:sz w:val="28"/>
          <w:szCs w:val="28"/>
        </w:rPr>
        <w:t>й.</w:t>
      </w:r>
    </w:p>
    <w:p w:rsidR="00F64E95" w:rsidRPr="00F94F36" w:rsidRDefault="00F64E95" w:rsidP="000F1384">
      <w:pPr>
        <w:pStyle w:val="3"/>
        <w:spacing w:before="0" w:after="25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94F36">
        <w:rPr>
          <w:rFonts w:ascii="Times New Roman" w:hAnsi="Times New Roman" w:cs="Times New Roman"/>
          <w:color w:val="333333"/>
          <w:sz w:val="28"/>
          <w:szCs w:val="28"/>
        </w:rPr>
        <w:t>III. Правила формирования и ведения реестра мест (площадок) накопления твердых коммунальных отходов, требования к его содержанию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2</w:t>
      </w:r>
      <w:r w:rsidRPr="00F94F36">
        <w:rPr>
          <w:color w:val="000000"/>
          <w:sz w:val="28"/>
          <w:szCs w:val="28"/>
        </w:rPr>
        <w:t>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</w:t>
      </w:r>
      <w:r>
        <w:rPr>
          <w:color w:val="000000"/>
          <w:sz w:val="28"/>
          <w:szCs w:val="28"/>
        </w:rPr>
        <w:t xml:space="preserve">х отходов по форме в соответствии с приложением 2 к </w:t>
      </w:r>
      <w:r w:rsidR="00D66F43">
        <w:rPr>
          <w:color w:val="000000"/>
          <w:sz w:val="28"/>
          <w:szCs w:val="28"/>
        </w:rPr>
        <w:t xml:space="preserve">Порядку </w:t>
      </w:r>
      <w:r w:rsidR="00FA38C4">
        <w:rPr>
          <w:color w:val="000000"/>
          <w:sz w:val="28"/>
          <w:szCs w:val="28"/>
        </w:rPr>
        <w:t>созда</w:t>
      </w:r>
      <w:r w:rsidR="00D66F43">
        <w:rPr>
          <w:color w:val="000000"/>
          <w:sz w:val="28"/>
          <w:szCs w:val="28"/>
        </w:rPr>
        <w:t xml:space="preserve">ния </w:t>
      </w:r>
      <w:r w:rsidRPr="001F5EFB">
        <w:rPr>
          <w:color w:val="000000"/>
          <w:sz w:val="28"/>
          <w:szCs w:val="28"/>
        </w:rPr>
        <w:t>мест (площадок) накопления твердых коммунальных отходов и ведения их реестра</w:t>
      </w:r>
      <w:r>
        <w:rPr>
          <w:color w:val="000000"/>
          <w:sz w:val="28"/>
          <w:szCs w:val="28"/>
        </w:rPr>
        <w:t>.</w:t>
      </w:r>
    </w:p>
    <w:p w:rsidR="00F64E95" w:rsidRPr="00F94F36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3</w:t>
      </w:r>
      <w:r w:rsidRPr="00F94F36">
        <w:rPr>
          <w:color w:val="000000"/>
          <w:sz w:val="28"/>
          <w:szCs w:val="28"/>
        </w:rPr>
        <w:t xml:space="preserve">. Реестр ведется на бумажном носителе и в электронном виде </w:t>
      </w:r>
      <w:r w:rsidR="00D66F4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Администраци</w:t>
      </w:r>
      <w:r w:rsidR="00D66F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района</w:t>
      </w:r>
      <w:r w:rsidR="00D66F43">
        <w:rPr>
          <w:color w:val="000000"/>
          <w:sz w:val="28"/>
          <w:szCs w:val="28"/>
        </w:rPr>
        <w:t xml:space="preserve"> ответственным должностным лицом</w:t>
      </w:r>
      <w:r w:rsidRPr="00F94F36">
        <w:rPr>
          <w:color w:val="000000"/>
          <w:sz w:val="28"/>
          <w:szCs w:val="28"/>
        </w:rPr>
        <w:t xml:space="preserve">. Сведения в реестр </w:t>
      </w:r>
      <w:r w:rsidRPr="00F94F36">
        <w:rPr>
          <w:color w:val="000000"/>
          <w:sz w:val="28"/>
          <w:szCs w:val="28"/>
        </w:rPr>
        <w:lastRenderedPageBreak/>
        <w:t>вносятся</w:t>
      </w:r>
      <w:r w:rsidR="00D66F43">
        <w:rPr>
          <w:color w:val="000000"/>
          <w:sz w:val="28"/>
          <w:szCs w:val="28"/>
        </w:rPr>
        <w:t xml:space="preserve"> ответственным </w:t>
      </w:r>
      <w:r w:rsidRPr="00F94F36">
        <w:rPr>
          <w:color w:val="000000"/>
          <w:sz w:val="28"/>
          <w:szCs w:val="28"/>
        </w:rPr>
        <w:t xml:space="preserve"> </w:t>
      </w:r>
      <w:r w:rsidR="00D66F43">
        <w:rPr>
          <w:color w:val="000000"/>
          <w:sz w:val="28"/>
          <w:szCs w:val="28"/>
        </w:rPr>
        <w:t>должностным лицом Администрации</w:t>
      </w:r>
      <w:r>
        <w:rPr>
          <w:color w:val="000000"/>
          <w:sz w:val="28"/>
          <w:szCs w:val="28"/>
        </w:rPr>
        <w:t xml:space="preserve"> района </w:t>
      </w:r>
      <w:r w:rsidRPr="00F94F36">
        <w:rPr>
          <w:color w:val="000000"/>
          <w:sz w:val="28"/>
          <w:szCs w:val="28"/>
        </w:rPr>
        <w:t xml:space="preserve">в течение 5 рабочих дней со дня принятия решения о внесении в него сведений </w:t>
      </w:r>
      <w:r w:rsidR="00D66F43" w:rsidRPr="00F94F36">
        <w:rPr>
          <w:color w:val="000000"/>
          <w:sz w:val="28"/>
          <w:szCs w:val="28"/>
        </w:rPr>
        <w:t>об</w:t>
      </w:r>
      <w:r w:rsidRPr="00F94F36">
        <w:rPr>
          <w:color w:val="000000"/>
          <w:sz w:val="28"/>
          <w:szCs w:val="28"/>
        </w:rPr>
        <w:t xml:space="preserve"> </w:t>
      </w:r>
      <w:r w:rsidR="00D66F43">
        <w:rPr>
          <w:color w:val="000000"/>
          <w:sz w:val="28"/>
          <w:szCs w:val="28"/>
        </w:rPr>
        <w:t xml:space="preserve">определении </w:t>
      </w:r>
      <w:r w:rsidRPr="00F94F36">
        <w:rPr>
          <w:color w:val="000000"/>
          <w:sz w:val="28"/>
          <w:szCs w:val="28"/>
        </w:rPr>
        <w:t>места (площадки) накопления твердых коммунальных отходов.</w:t>
      </w:r>
    </w:p>
    <w:p w:rsidR="00F64E95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94F36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4</w:t>
      </w:r>
      <w:r w:rsidRPr="00F94F36">
        <w:rPr>
          <w:color w:val="000000"/>
          <w:sz w:val="28"/>
          <w:szCs w:val="28"/>
        </w:rPr>
        <w:t>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Администрации муниципального района Исаклинский в информационно-телекоммуникационной сети "Интернет". Указанные сведения должны быть доступны для ознакомления неограниченному кругу лиц без взимания платы.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7421A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5</w:t>
      </w:r>
      <w:r w:rsidRPr="0027421A">
        <w:rPr>
          <w:color w:val="000000"/>
          <w:sz w:val="28"/>
          <w:szCs w:val="28"/>
        </w:rPr>
        <w:t>.</w:t>
      </w:r>
      <w:r w:rsidRPr="005F6111">
        <w:rPr>
          <w:color w:val="000000"/>
          <w:sz w:val="28"/>
          <w:szCs w:val="28"/>
        </w:rPr>
        <w:t xml:space="preserve"> Реестр ведется на государственном языке Российской Федерации.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6</w:t>
      </w:r>
      <w:r w:rsidRPr="005F6111">
        <w:rPr>
          <w:color w:val="000000"/>
          <w:sz w:val="28"/>
          <w:szCs w:val="28"/>
        </w:rPr>
        <w:t>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7</w:t>
      </w:r>
      <w:r w:rsidRPr="005F6111">
        <w:rPr>
          <w:color w:val="000000"/>
          <w:sz w:val="28"/>
          <w:szCs w:val="28"/>
        </w:rPr>
        <w:t>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lastRenderedPageBreak/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8</w:t>
      </w:r>
      <w:r w:rsidRPr="005F6111">
        <w:rPr>
          <w:color w:val="000000"/>
          <w:sz w:val="28"/>
          <w:szCs w:val="28"/>
        </w:rPr>
        <w:t>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Информация о планируемых к размещению контейнерах определяется </w:t>
      </w:r>
      <w:r>
        <w:rPr>
          <w:color w:val="000000"/>
          <w:sz w:val="28"/>
          <w:szCs w:val="28"/>
        </w:rPr>
        <w:t>Администрацией района</w:t>
      </w:r>
      <w:r w:rsidRPr="005F6111">
        <w:rPr>
          <w:color w:val="000000"/>
          <w:sz w:val="28"/>
          <w:szCs w:val="28"/>
        </w:rPr>
        <w:t xml:space="preserve">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1</w:t>
      </w:r>
      <w:r w:rsidR="005C591D">
        <w:rPr>
          <w:color w:val="000000"/>
          <w:sz w:val="28"/>
          <w:szCs w:val="28"/>
        </w:rPr>
        <w:t>9</w:t>
      </w:r>
      <w:r w:rsidRPr="005F6111">
        <w:rPr>
          <w:color w:val="000000"/>
          <w:sz w:val="28"/>
          <w:szCs w:val="28"/>
        </w:rPr>
        <w:t>. Раздел "Данные о собственниках мест (площадок) накопления твердых коммунальных отходов" содержит сведения: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r w:rsidRPr="005F6111">
        <w:rPr>
          <w:color w:val="000000"/>
          <w:sz w:val="28"/>
          <w:szCs w:val="28"/>
        </w:rPr>
        <w:lastRenderedPageBreak/>
        <w:t>законодательством Российской Федерации, адрес регистрации по месту жительства, контактные данные.</w:t>
      </w:r>
    </w:p>
    <w:p w:rsidR="00F64E95" w:rsidRPr="005F6111" w:rsidRDefault="005C591D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F64E95" w:rsidRPr="005F6111">
        <w:rPr>
          <w:color w:val="000000"/>
          <w:sz w:val="28"/>
          <w:szCs w:val="28"/>
        </w:rPr>
        <w:t xml:space="preserve">. Раздел "Данные об источниках образования твердых коммунальных отходов, которые складируются в местах (на </w:t>
      </w:r>
      <w:proofErr w:type="gramStart"/>
      <w:r w:rsidR="00F64E95" w:rsidRPr="005F6111">
        <w:rPr>
          <w:color w:val="000000"/>
          <w:sz w:val="28"/>
          <w:szCs w:val="28"/>
        </w:rPr>
        <w:t xml:space="preserve">площадках) </w:t>
      </w:r>
      <w:proofErr w:type="gramEnd"/>
      <w:r w:rsidR="00F64E95" w:rsidRPr="005F6111">
        <w:rPr>
          <w:color w:val="000000"/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1</w:t>
      </w:r>
      <w:r w:rsidRPr="005F6111">
        <w:rPr>
          <w:color w:val="000000"/>
          <w:sz w:val="28"/>
          <w:szCs w:val="28"/>
        </w:rPr>
        <w:t xml:space="preserve">. В случае если место (площадка) накопления твердых коммунальных отходов создано </w:t>
      </w:r>
      <w:r>
        <w:rPr>
          <w:color w:val="000000"/>
          <w:sz w:val="28"/>
          <w:szCs w:val="28"/>
        </w:rPr>
        <w:t xml:space="preserve">сельскими поселениями муниципального района Исаклинский </w:t>
      </w:r>
      <w:r w:rsidRPr="005F6111">
        <w:rPr>
          <w:color w:val="000000"/>
          <w:sz w:val="28"/>
          <w:szCs w:val="28"/>
        </w:rPr>
        <w:t xml:space="preserve"> в соответствии </w:t>
      </w:r>
      <w:r w:rsidRPr="0022683E">
        <w:rPr>
          <w:color w:val="000000"/>
          <w:sz w:val="28"/>
          <w:szCs w:val="28"/>
        </w:rPr>
        <w:t>с </w:t>
      </w:r>
      <w:r w:rsidRPr="0022683E">
        <w:rPr>
          <w:rStyle w:val="a9"/>
          <w:sz w:val="28"/>
          <w:szCs w:val="28"/>
          <w:bdr w:val="none" w:sz="0" w:space="0" w:color="auto" w:frame="1"/>
        </w:rPr>
        <w:t>пунктом 3</w:t>
      </w:r>
      <w:r w:rsidRPr="005F6111">
        <w:rPr>
          <w:color w:val="000000"/>
          <w:sz w:val="28"/>
          <w:szCs w:val="28"/>
        </w:rPr>
        <w:t> настоящих Правил, сведения о таком месте (</w:t>
      </w:r>
      <w:proofErr w:type="gramStart"/>
      <w:r w:rsidRPr="005F6111">
        <w:rPr>
          <w:color w:val="000000"/>
          <w:sz w:val="28"/>
          <w:szCs w:val="28"/>
        </w:rPr>
        <w:t xml:space="preserve">площадке) </w:t>
      </w:r>
      <w:proofErr w:type="gramEnd"/>
      <w:r w:rsidRPr="005F6111">
        <w:rPr>
          <w:color w:val="000000"/>
          <w:sz w:val="28"/>
          <w:szCs w:val="28"/>
        </w:rPr>
        <w:t xml:space="preserve">накопления твердых коммунальных отходов подлежат включению </w:t>
      </w:r>
      <w:r>
        <w:rPr>
          <w:color w:val="000000"/>
          <w:sz w:val="28"/>
          <w:szCs w:val="28"/>
        </w:rPr>
        <w:t>Администрацией района</w:t>
      </w:r>
      <w:r w:rsidRPr="005F6111">
        <w:rPr>
          <w:color w:val="000000"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2</w:t>
      </w:r>
      <w:r w:rsidRPr="005F6111">
        <w:rPr>
          <w:color w:val="000000"/>
          <w:sz w:val="28"/>
          <w:szCs w:val="28"/>
        </w:rPr>
        <w:t xml:space="preserve">. В случае если место (площадка) накопления твердых коммунальных отходов создано заявителем, он обязан обратиться в </w:t>
      </w:r>
      <w:r>
        <w:rPr>
          <w:color w:val="000000"/>
          <w:sz w:val="28"/>
          <w:szCs w:val="28"/>
        </w:rPr>
        <w:t>Администрацию района</w:t>
      </w:r>
      <w:r w:rsidRPr="005F6111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64E95" w:rsidRPr="005F6111" w:rsidRDefault="005C591D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F64E95" w:rsidRPr="005F6111">
        <w:rPr>
          <w:color w:val="000000"/>
          <w:sz w:val="28"/>
          <w:szCs w:val="28"/>
        </w:rPr>
        <w:t xml:space="preserve">. Заявитель направляет в </w:t>
      </w:r>
      <w:r w:rsidR="00F64E95">
        <w:rPr>
          <w:color w:val="000000"/>
          <w:sz w:val="28"/>
          <w:szCs w:val="28"/>
        </w:rPr>
        <w:t>Администрацию района</w:t>
      </w:r>
      <w:r w:rsidR="00F64E95" w:rsidRPr="005F6111">
        <w:rPr>
          <w:color w:val="000000"/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форме, </w:t>
      </w:r>
      <w:r w:rsidR="00F64E95">
        <w:rPr>
          <w:color w:val="000000"/>
          <w:sz w:val="28"/>
          <w:szCs w:val="28"/>
        </w:rPr>
        <w:t xml:space="preserve">в соответствии с приложением 3 к </w:t>
      </w:r>
      <w:r w:rsidR="00D66F43">
        <w:rPr>
          <w:color w:val="000000"/>
          <w:sz w:val="28"/>
          <w:szCs w:val="28"/>
        </w:rPr>
        <w:t xml:space="preserve">Порядку </w:t>
      </w:r>
      <w:r w:rsidR="00FA38C4">
        <w:rPr>
          <w:color w:val="000000"/>
          <w:sz w:val="28"/>
          <w:szCs w:val="28"/>
        </w:rPr>
        <w:t>создания</w:t>
      </w:r>
      <w:r w:rsidR="00F64E95" w:rsidRPr="001F5EFB">
        <w:rPr>
          <w:color w:val="000000"/>
          <w:sz w:val="28"/>
          <w:szCs w:val="28"/>
        </w:rPr>
        <w:t xml:space="preserve"> мест (площадок) накопления твердых коммунальных отходов и ведения их реестра</w:t>
      </w:r>
      <w:r w:rsidR="00F64E95">
        <w:rPr>
          <w:color w:val="000000"/>
          <w:sz w:val="28"/>
          <w:szCs w:val="28"/>
        </w:rPr>
        <w:t>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4</w:t>
      </w:r>
      <w:r w:rsidRPr="005F6111">
        <w:rPr>
          <w:color w:val="000000"/>
          <w:sz w:val="28"/>
          <w:szCs w:val="28"/>
        </w:rPr>
        <w:t>. Рассмотрение заявки о включении 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 xml:space="preserve"> в реестр осуществляется Администрацией района</w:t>
      </w:r>
      <w:r w:rsidRPr="005F6111">
        <w:rPr>
          <w:color w:val="000000"/>
          <w:sz w:val="28"/>
          <w:szCs w:val="28"/>
        </w:rPr>
        <w:t xml:space="preserve"> в течение 10 рабочих дней со дня ее получения.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5</w:t>
      </w:r>
      <w:r w:rsidRPr="005F6111">
        <w:rPr>
          <w:color w:val="000000"/>
          <w:sz w:val="28"/>
          <w:szCs w:val="28"/>
        </w:rPr>
        <w:t xml:space="preserve">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color w:val="000000"/>
          <w:sz w:val="28"/>
          <w:szCs w:val="28"/>
        </w:rPr>
        <w:t>Администрация района</w:t>
      </w:r>
      <w:r w:rsidRPr="005F6111">
        <w:rPr>
          <w:color w:val="000000"/>
          <w:sz w:val="28"/>
          <w:szCs w:val="28"/>
        </w:rPr>
        <w:t xml:space="preserve"> принимает решение о включении сведений о месте (площадке) накопления </w:t>
      </w:r>
      <w:r w:rsidRPr="005F6111">
        <w:rPr>
          <w:color w:val="000000"/>
          <w:sz w:val="28"/>
          <w:szCs w:val="28"/>
        </w:rPr>
        <w:lastRenderedPageBreak/>
        <w:t>твердых коммунальных отходов в реестр или об отказе во включении таких сведений в реестр.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6</w:t>
      </w:r>
      <w:r w:rsidRPr="005F6111">
        <w:rPr>
          <w:color w:val="000000"/>
          <w:sz w:val="28"/>
          <w:szCs w:val="28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 xml:space="preserve">в) отсутствие согласования </w:t>
      </w:r>
      <w:r>
        <w:rPr>
          <w:color w:val="000000"/>
          <w:sz w:val="28"/>
          <w:szCs w:val="28"/>
        </w:rPr>
        <w:t>Администрацией района</w:t>
      </w:r>
      <w:r w:rsidRPr="005F6111">
        <w:rPr>
          <w:color w:val="000000"/>
          <w:sz w:val="28"/>
          <w:szCs w:val="28"/>
        </w:rPr>
        <w:t xml:space="preserve"> создания места (площадки) накопления твердых коммунальных отходов.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7</w:t>
      </w:r>
      <w:r w:rsidRPr="005F6111">
        <w:rPr>
          <w:color w:val="000000"/>
          <w:sz w:val="28"/>
          <w:szCs w:val="28"/>
        </w:rPr>
        <w:t>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8</w:t>
      </w:r>
      <w:r w:rsidRPr="005F611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района </w:t>
      </w:r>
      <w:r w:rsidRPr="005F6111">
        <w:rPr>
          <w:color w:val="000000"/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F64E95" w:rsidRPr="005F6111" w:rsidRDefault="00F64E95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sz w:val="28"/>
          <w:szCs w:val="28"/>
        </w:rPr>
      </w:pPr>
      <w:r w:rsidRPr="005F6111">
        <w:rPr>
          <w:color w:val="000000"/>
          <w:sz w:val="28"/>
          <w:szCs w:val="28"/>
        </w:rPr>
        <w:t>2</w:t>
      </w:r>
      <w:r w:rsidR="005C591D">
        <w:rPr>
          <w:color w:val="000000"/>
          <w:sz w:val="28"/>
          <w:szCs w:val="28"/>
        </w:rPr>
        <w:t>9</w:t>
      </w:r>
      <w:r w:rsidRPr="005F6111">
        <w:rPr>
          <w:color w:val="000000"/>
          <w:sz w:val="28"/>
          <w:szCs w:val="28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color w:val="000000"/>
          <w:sz w:val="28"/>
          <w:szCs w:val="28"/>
        </w:rPr>
        <w:t>Администрацию района</w:t>
      </w:r>
      <w:r w:rsidRPr="005F6111">
        <w:rPr>
          <w:color w:val="000000"/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color w:val="000000"/>
          <w:sz w:val="28"/>
          <w:szCs w:val="28"/>
        </w:rPr>
        <w:t xml:space="preserve">Администрацию района </w:t>
      </w:r>
      <w:r w:rsidRPr="005F6111">
        <w:rPr>
          <w:color w:val="000000"/>
          <w:sz w:val="28"/>
          <w:szCs w:val="28"/>
        </w:rPr>
        <w:t xml:space="preserve">повторно, рассматривается в порядке и сроки, которые </w:t>
      </w:r>
      <w:r w:rsidRPr="005F6111">
        <w:rPr>
          <w:sz w:val="28"/>
          <w:szCs w:val="28"/>
        </w:rPr>
        <w:t>установлены </w:t>
      </w:r>
      <w:hyperlink r:id="rId10" w:anchor="22" w:history="1">
        <w:r w:rsidR="005C591D">
          <w:rPr>
            <w:rStyle w:val="a9"/>
            <w:sz w:val="28"/>
            <w:szCs w:val="28"/>
            <w:bdr w:val="none" w:sz="0" w:space="0" w:color="auto" w:frame="1"/>
          </w:rPr>
          <w:t>пунктами 23</w:t>
        </w:r>
        <w:r w:rsidRPr="00206BD6">
          <w:rPr>
            <w:rStyle w:val="a9"/>
            <w:sz w:val="28"/>
            <w:szCs w:val="28"/>
            <w:bdr w:val="none" w:sz="0" w:space="0" w:color="auto" w:frame="1"/>
          </w:rPr>
          <w:t xml:space="preserve"> - 2</w:t>
        </w:r>
        <w:r w:rsidR="005C591D">
          <w:rPr>
            <w:rStyle w:val="a9"/>
            <w:sz w:val="28"/>
            <w:szCs w:val="28"/>
            <w:bdr w:val="none" w:sz="0" w:space="0" w:color="auto" w:frame="1"/>
          </w:rPr>
          <w:t>8</w:t>
        </w:r>
      </w:hyperlink>
      <w:r w:rsidRPr="005F6111">
        <w:rPr>
          <w:sz w:val="28"/>
          <w:szCs w:val="28"/>
        </w:rPr>
        <w:t> настоящих Правил.</w:t>
      </w:r>
    </w:p>
    <w:p w:rsidR="00F64E95" w:rsidRPr="005F6111" w:rsidRDefault="005C591D" w:rsidP="000F1384">
      <w:pPr>
        <w:pStyle w:val="a5"/>
        <w:spacing w:before="0" w:beforeAutospacing="0" w:after="255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F64E95" w:rsidRPr="005F6111">
        <w:rPr>
          <w:color w:val="000000"/>
          <w:sz w:val="28"/>
          <w:szCs w:val="28"/>
        </w:rPr>
        <w:t xml:space="preserve">. Заявитель обязан сообщать в </w:t>
      </w:r>
      <w:r w:rsidR="00F64E95">
        <w:rPr>
          <w:color w:val="000000"/>
          <w:sz w:val="28"/>
          <w:szCs w:val="28"/>
        </w:rPr>
        <w:t>Администрацию района</w:t>
      </w:r>
      <w:r w:rsidR="00F64E95" w:rsidRPr="005F6111">
        <w:rPr>
          <w:color w:val="000000"/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F64E95" w:rsidRPr="00AB53CC" w:rsidRDefault="00F64E95" w:rsidP="000F1384">
      <w:pPr>
        <w:spacing w:line="360" w:lineRule="auto"/>
        <w:jc w:val="both"/>
      </w:pPr>
    </w:p>
    <w:p w:rsidR="00DE0FF8" w:rsidRPr="001F5EFB" w:rsidRDefault="00DE0FF8" w:rsidP="00DE0FF8">
      <w:pPr>
        <w:jc w:val="right"/>
      </w:pPr>
      <w:bookmarkStart w:id="1" w:name="_GoBack"/>
      <w:bookmarkEnd w:id="1"/>
      <w:r w:rsidRPr="001F5EFB">
        <w:t>Приложение 1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к </w:t>
      </w:r>
      <w:r w:rsidR="00D66F43">
        <w:t>П</w:t>
      </w:r>
      <w:r>
        <w:t xml:space="preserve">орядку </w:t>
      </w:r>
      <w:r w:rsidR="00FA38C4">
        <w:t>созда</w:t>
      </w:r>
      <w:r w:rsidR="000F1384">
        <w:t>ния</w:t>
      </w:r>
      <w:r w:rsidRPr="001F5EFB">
        <w:t xml:space="preserve"> мест  (площадок)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 накопления </w:t>
      </w:r>
      <w:proofErr w:type="gramStart"/>
      <w:r w:rsidRPr="001F5EFB">
        <w:t>твердых</w:t>
      </w:r>
      <w:proofErr w:type="gramEnd"/>
      <w:r w:rsidRPr="001F5EFB">
        <w:t xml:space="preserve"> коммунальных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 отходов и ведения их реестра. 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</w:p>
    <w:p w:rsidR="00DE0FF8" w:rsidRPr="001C56A0" w:rsidRDefault="00DE0FF8" w:rsidP="00DE0FF8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E0FF8" w:rsidRPr="001C56A0" w:rsidTr="00A77F52">
        <w:tc>
          <w:tcPr>
            <w:tcW w:w="5341" w:type="dxa"/>
          </w:tcPr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5341" w:type="dxa"/>
          </w:tcPr>
          <w:p w:rsidR="00DE0FF8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Главе </w:t>
            </w:r>
            <w:proofErr w:type="gramStart"/>
            <w:r w:rsidRPr="001C56A0">
              <w:rPr>
                <w:sz w:val="28"/>
                <w:szCs w:val="28"/>
              </w:rPr>
              <w:t>муниципального</w:t>
            </w:r>
            <w:proofErr w:type="gramEnd"/>
            <w:r w:rsidRPr="001C56A0">
              <w:rPr>
                <w:sz w:val="28"/>
                <w:szCs w:val="28"/>
              </w:rPr>
              <w:t xml:space="preserve"> </w:t>
            </w:r>
          </w:p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района Исаклинский </w:t>
            </w:r>
          </w:p>
          <w:p w:rsidR="00DE0FF8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Самарской области </w:t>
            </w:r>
          </w:p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  <w:proofErr w:type="spellStart"/>
            <w:r w:rsidRPr="001C56A0">
              <w:rPr>
                <w:sz w:val="28"/>
                <w:szCs w:val="28"/>
              </w:rPr>
              <w:t>Ятманкину</w:t>
            </w:r>
            <w:proofErr w:type="spellEnd"/>
            <w:r w:rsidRPr="001C56A0">
              <w:rPr>
                <w:sz w:val="28"/>
                <w:szCs w:val="28"/>
              </w:rPr>
              <w:t xml:space="preserve"> В.Д.</w:t>
            </w:r>
          </w:p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sz w:val="28"/>
          <w:szCs w:val="28"/>
        </w:rPr>
      </w:pPr>
      <w:r w:rsidRPr="001C56A0">
        <w:rPr>
          <w:sz w:val="28"/>
          <w:szCs w:val="28"/>
        </w:rPr>
        <w:t>Заявление</w:t>
      </w:r>
    </w:p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jc w:val="both"/>
        <w:rPr>
          <w:sz w:val="28"/>
          <w:szCs w:val="28"/>
        </w:rPr>
      </w:pPr>
      <w:r w:rsidRPr="001C56A0">
        <w:rPr>
          <w:sz w:val="28"/>
          <w:szCs w:val="28"/>
        </w:rPr>
        <w:t>Прошу Вас согласовать следующе</w:t>
      </w:r>
      <w:r w:rsidR="000F1384">
        <w:rPr>
          <w:sz w:val="28"/>
          <w:szCs w:val="28"/>
        </w:rPr>
        <w:t>е</w:t>
      </w:r>
      <w:r w:rsidRPr="001C56A0">
        <w:rPr>
          <w:sz w:val="28"/>
          <w:szCs w:val="28"/>
        </w:rPr>
        <w:t xml:space="preserve"> мест</w:t>
      </w:r>
      <w:r w:rsidR="000F1384">
        <w:rPr>
          <w:sz w:val="28"/>
          <w:szCs w:val="28"/>
        </w:rPr>
        <w:t>о (площадку</w:t>
      </w:r>
      <w:r w:rsidRPr="001C56A0">
        <w:rPr>
          <w:sz w:val="28"/>
          <w:szCs w:val="28"/>
        </w:rPr>
        <w:t>) накопления твердых коммунальных отходов</w:t>
      </w:r>
      <w:r>
        <w:rPr>
          <w:sz w:val="28"/>
          <w:szCs w:val="28"/>
        </w:rPr>
        <w:t>:</w:t>
      </w:r>
    </w:p>
    <w:p w:rsidR="00DE0FF8" w:rsidRPr="001C56A0" w:rsidRDefault="00DE0FF8" w:rsidP="00DE0FF8">
      <w:pPr>
        <w:jc w:val="both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Адрес места (площадки) накопления ТКО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Географические координаты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Данные о технических характеристиках:</w:t>
            </w: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vMerge w:val="restart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Площадь</w:t>
            </w:r>
          </w:p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Количество контейнеров (бункеров)</w:t>
            </w:r>
          </w:p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Объем контейнера (бункера), куб. м</w:t>
            </w: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vMerge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vMerge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Default="00DE0FF8" w:rsidP="00A77F52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Источники образования ТКО</w:t>
            </w:r>
          </w:p>
          <w:p w:rsidR="00DE0FF8" w:rsidRPr="001C56A0" w:rsidRDefault="00DE0FF8" w:rsidP="00A77F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Фирменное наименование заявителя – юридического лица (согласно уставу регулируемой организации)</w:t>
            </w: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Фамилия, Имя и Отчество руководителя </w:t>
            </w: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основной государственный регистрационный номер регулируемой организации и дата его присвоения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56A0">
              <w:rPr>
                <w:sz w:val="28"/>
                <w:szCs w:val="28"/>
              </w:rPr>
              <w:t>очтовый адрес, контактные телефоны, официальный сайт в сети Интернет и адрес электронной почты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Индивидуальный номер налогоплательщика </w:t>
            </w:r>
          </w:p>
        </w:tc>
        <w:tc>
          <w:tcPr>
            <w:tcW w:w="3544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0FF8" w:rsidRPr="001C56A0" w:rsidRDefault="00DE0FF8" w:rsidP="00DE0FF8">
      <w:pPr>
        <w:jc w:val="both"/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</w:p>
    <w:p w:rsidR="00DE0FF8" w:rsidRPr="001C56A0" w:rsidRDefault="00DE0FF8" w:rsidP="00DE0FF8">
      <w:pPr>
        <w:jc w:val="right"/>
        <w:rPr>
          <w:sz w:val="28"/>
          <w:szCs w:val="28"/>
        </w:rPr>
      </w:pPr>
    </w:p>
    <w:p w:rsidR="00DE0FF8" w:rsidRDefault="00DE0FF8" w:rsidP="00DE0FF8">
      <w:pPr>
        <w:jc w:val="right"/>
        <w:rPr>
          <w:sz w:val="28"/>
          <w:szCs w:val="28"/>
        </w:rPr>
        <w:sectPr w:rsidR="00DE0FF8" w:rsidSect="00551A01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E0FF8" w:rsidRPr="001C56A0" w:rsidRDefault="00DE0FF8" w:rsidP="00DE0FF8">
      <w:pPr>
        <w:jc w:val="right"/>
        <w:rPr>
          <w:sz w:val="28"/>
          <w:szCs w:val="28"/>
        </w:rPr>
      </w:pPr>
    </w:p>
    <w:p w:rsidR="00DE0FF8" w:rsidRPr="001F5EFB" w:rsidRDefault="00DE0FF8" w:rsidP="00DE0FF8">
      <w:pPr>
        <w:jc w:val="right"/>
      </w:pPr>
      <w:r w:rsidRPr="001F5EFB">
        <w:t xml:space="preserve">Приложение 2 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>
        <w:t xml:space="preserve">к </w:t>
      </w:r>
      <w:r w:rsidR="00D66F43">
        <w:t>П</w:t>
      </w:r>
      <w:r>
        <w:t xml:space="preserve">орядку </w:t>
      </w:r>
      <w:r w:rsidR="00FA38C4">
        <w:t>создания</w:t>
      </w:r>
      <w:r w:rsidRPr="001F5EFB">
        <w:t xml:space="preserve"> мест  (площадок)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 накопления </w:t>
      </w:r>
      <w:proofErr w:type="gramStart"/>
      <w:r w:rsidRPr="001F5EFB">
        <w:t>твердых</w:t>
      </w:r>
      <w:proofErr w:type="gramEnd"/>
      <w:r w:rsidRPr="001F5EFB">
        <w:t xml:space="preserve"> коммунальных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 отходов и ведения их реестра. 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</w:p>
    <w:p w:rsidR="00DE0FF8" w:rsidRPr="001C56A0" w:rsidRDefault="00DE0FF8" w:rsidP="00DE0FF8">
      <w:pPr>
        <w:jc w:val="right"/>
        <w:rPr>
          <w:sz w:val="28"/>
          <w:szCs w:val="28"/>
        </w:rPr>
      </w:pPr>
    </w:p>
    <w:p w:rsidR="00DE0FF8" w:rsidRPr="001C56A0" w:rsidRDefault="00DE0FF8" w:rsidP="00DE0FF8">
      <w:pPr>
        <w:jc w:val="right"/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color w:val="000000"/>
          <w:sz w:val="28"/>
          <w:szCs w:val="28"/>
        </w:rPr>
      </w:pPr>
      <w:r w:rsidRPr="001C56A0">
        <w:rPr>
          <w:color w:val="000000"/>
          <w:sz w:val="28"/>
          <w:szCs w:val="28"/>
        </w:rPr>
        <w:t>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 xml:space="preserve"> на территории муниципального района Исаклинский Самарской области на __.__.20__г.</w:t>
      </w:r>
    </w:p>
    <w:p w:rsidR="00DE0FF8" w:rsidRPr="001C56A0" w:rsidRDefault="00DE0FF8" w:rsidP="00DE0FF8">
      <w:pPr>
        <w:jc w:val="center"/>
        <w:rPr>
          <w:color w:val="000000"/>
          <w:sz w:val="28"/>
          <w:szCs w:val="28"/>
        </w:rPr>
      </w:pPr>
    </w:p>
    <w:p w:rsidR="00DE0FF8" w:rsidRPr="001C56A0" w:rsidRDefault="00DE0FF8" w:rsidP="00DE0FF8">
      <w:pPr>
        <w:jc w:val="both"/>
        <w:rPr>
          <w:color w:val="000000"/>
          <w:sz w:val="28"/>
          <w:szCs w:val="28"/>
        </w:rPr>
      </w:pPr>
      <w:r w:rsidRPr="001C56A0">
        <w:rPr>
          <w:color w:val="000000"/>
          <w:sz w:val="28"/>
          <w:szCs w:val="28"/>
        </w:rPr>
        <w:t> 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930"/>
        <w:gridCol w:w="1825"/>
        <w:gridCol w:w="1584"/>
        <w:gridCol w:w="1342"/>
        <w:gridCol w:w="1777"/>
        <w:gridCol w:w="1755"/>
        <w:gridCol w:w="2268"/>
        <w:gridCol w:w="2545"/>
      </w:tblGrid>
      <w:tr w:rsidR="00DE0FF8" w:rsidRPr="001C56A0" w:rsidTr="00A77F52">
        <w:trPr>
          <w:trHeight w:val="750"/>
        </w:trPr>
        <w:tc>
          <w:tcPr>
            <w:tcW w:w="675" w:type="dxa"/>
            <w:vMerge w:val="restart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 xml:space="preserve">№ </w:t>
            </w:r>
          </w:p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C56A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C56A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30" w:type="dxa"/>
            <w:vMerge w:val="restart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Адрес места (площадки) накопления ТКО</w:t>
            </w:r>
          </w:p>
        </w:tc>
        <w:tc>
          <w:tcPr>
            <w:tcW w:w="1825" w:type="dxa"/>
            <w:vMerge w:val="restart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6458" w:type="dxa"/>
            <w:gridSpan w:val="4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Данные о технических характеристиках</w:t>
            </w:r>
          </w:p>
        </w:tc>
        <w:tc>
          <w:tcPr>
            <w:tcW w:w="2268" w:type="dxa"/>
            <w:vMerge w:val="restart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2545" w:type="dxa"/>
            <w:vMerge w:val="restart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Источник образования ТКО</w:t>
            </w:r>
          </w:p>
        </w:tc>
      </w:tr>
      <w:tr w:rsidR="00DE0FF8" w:rsidRPr="001C56A0" w:rsidTr="00A77F52">
        <w:trPr>
          <w:trHeight w:val="1672"/>
        </w:trPr>
        <w:tc>
          <w:tcPr>
            <w:tcW w:w="675" w:type="dxa"/>
            <w:vMerge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0" w:type="dxa"/>
            <w:vMerge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  <w:vMerge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Сведения о покрытии</w:t>
            </w:r>
          </w:p>
        </w:tc>
        <w:tc>
          <w:tcPr>
            <w:tcW w:w="1342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Площадь</w:t>
            </w:r>
          </w:p>
        </w:tc>
        <w:tc>
          <w:tcPr>
            <w:tcW w:w="1777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C56A0">
              <w:rPr>
                <w:color w:val="000000"/>
                <w:sz w:val="28"/>
                <w:szCs w:val="28"/>
              </w:rPr>
              <w:t>Количество контейнеров (бункеров</w:t>
            </w:r>
            <w:proofErr w:type="gramEnd"/>
          </w:p>
        </w:tc>
        <w:tc>
          <w:tcPr>
            <w:tcW w:w="175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Объем контейнера (бункера), куб. м.</w:t>
            </w:r>
          </w:p>
        </w:tc>
        <w:tc>
          <w:tcPr>
            <w:tcW w:w="2268" w:type="dxa"/>
            <w:vMerge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7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7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7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FF8" w:rsidRPr="001C56A0" w:rsidTr="00A77F52">
        <w:tc>
          <w:tcPr>
            <w:tcW w:w="67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5" w:type="dxa"/>
          </w:tcPr>
          <w:p w:rsidR="00DE0FF8" w:rsidRPr="001C56A0" w:rsidRDefault="00DE0FF8" w:rsidP="00A77F52">
            <w:pPr>
              <w:pStyle w:val="a5"/>
              <w:spacing w:before="0" w:beforeAutospacing="0" w:after="255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E0FF8" w:rsidRDefault="00DE0FF8" w:rsidP="00DE0FF8">
      <w:pPr>
        <w:pStyle w:val="a5"/>
        <w:spacing w:before="0" w:beforeAutospacing="0" w:after="255" w:afterAutospacing="0" w:line="360" w:lineRule="auto"/>
        <w:rPr>
          <w:sz w:val="28"/>
          <w:szCs w:val="28"/>
        </w:rPr>
      </w:pPr>
    </w:p>
    <w:p w:rsidR="00DE0FF8" w:rsidRDefault="00DE0FF8" w:rsidP="00DE0FF8">
      <w:pPr>
        <w:pStyle w:val="a5"/>
        <w:spacing w:before="0" w:beforeAutospacing="0" w:after="255" w:afterAutospacing="0" w:line="360" w:lineRule="auto"/>
        <w:rPr>
          <w:sz w:val="28"/>
          <w:szCs w:val="28"/>
        </w:rPr>
        <w:sectPr w:rsidR="00DE0FF8" w:rsidSect="0022683E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E0FF8" w:rsidRPr="001F5EFB" w:rsidRDefault="00DE0FF8" w:rsidP="00DE0FF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1F5EFB">
        <w:t>Приложение 3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right="-1" w:firstLine="709"/>
        <w:jc w:val="right"/>
      </w:pPr>
      <w:r>
        <w:t xml:space="preserve">     </w:t>
      </w:r>
      <w:r w:rsidRPr="001F5EFB">
        <w:t xml:space="preserve">к </w:t>
      </w:r>
      <w:r w:rsidR="00D66F43">
        <w:t>П</w:t>
      </w:r>
      <w:r>
        <w:t>орядку</w:t>
      </w:r>
      <w:r w:rsidR="000F1384">
        <w:t xml:space="preserve"> </w:t>
      </w:r>
      <w:r w:rsidR="00FA38C4">
        <w:t>создания</w:t>
      </w:r>
      <w:r w:rsidRPr="001F5EFB">
        <w:t xml:space="preserve"> мест  (площадок)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 накопления </w:t>
      </w:r>
      <w:proofErr w:type="gramStart"/>
      <w:r w:rsidRPr="001F5EFB">
        <w:t>твердых</w:t>
      </w:r>
      <w:proofErr w:type="gramEnd"/>
      <w:r w:rsidRPr="001F5EFB">
        <w:t xml:space="preserve"> коммунальных</w:t>
      </w:r>
    </w:p>
    <w:p w:rsidR="00DE0FF8" w:rsidRPr="001F5EFB" w:rsidRDefault="00DE0FF8" w:rsidP="00DE0FF8">
      <w:pPr>
        <w:pStyle w:val="a5"/>
        <w:spacing w:before="0" w:beforeAutospacing="0" w:after="0" w:afterAutospacing="0"/>
        <w:ind w:firstLine="709"/>
        <w:jc w:val="right"/>
      </w:pPr>
      <w:r w:rsidRPr="001F5EFB">
        <w:t xml:space="preserve"> отходов и ведения их реестра. </w:t>
      </w:r>
    </w:p>
    <w:p w:rsidR="00DE0FF8" w:rsidRPr="00206BD6" w:rsidRDefault="00DE0FF8" w:rsidP="00DE0FF8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E0FF8" w:rsidRPr="001C56A0" w:rsidRDefault="00DE0FF8" w:rsidP="00DE0FF8">
      <w:pPr>
        <w:jc w:val="right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27"/>
      </w:tblGrid>
      <w:tr w:rsidR="00DE0FF8" w:rsidRPr="001C56A0" w:rsidTr="00A77F52">
        <w:tc>
          <w:tcPr>
            <w:tcW w:w="5341" w:type="dxa"/>
          </w:tcPr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Бланк организации</w:t>
            </w:r>
          </w:p>
        </w:tc>
        <w:tc>
          <w:tcPr>
            <w:tcW w:w="5341" w:type="dxa"/>
          </w:tcPr>
          <w:p w:rsidR="00DE0FF8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Главе </w:t>
            </w:r>
            <w:proofErr w:type="gramStart"/>
            <w:r w:rsidRPr="001C56A0">
              <w:rPr>
                <w:sz w:val="28"/>
                <w:szCs w:val="28"/>
              </w:rPr>
              <w:t>муниципального</w:t>
            </w:r>
            <w:proofErr w:type="gramEnd"/>
            <w:r w:rsidRPr="001C56A0">
              <w:rPr>
                <w:sz w:val="28"/>
                <w:szCs w:val="28"/>
              </w:rPr>
              <w:t xml:space="preserve"> </w:t>
            </w:r>
          </w:p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района Исаклинский </w:t>
            </w:r>
          </w:p>
          <w:p w:rsidR="00DE0FF8" w:rsidRDefault="00DE0FF8" w:rsidP="00A77F52">
            <w:pPr>
              <w:jc w:val="center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Самарской области </w:t>
            </w:r>
          </w:p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  <w:proofErr w:type="spellStart"/>
            <w:r w:rsidRPr="001C56A0">
              <w:rPr>
                <w:sz w:val="28"/>
                <w:szCs w:val="28"/>
              </w:rPr>
              <w:t>Ятманкину</w:t>
            </w:r>
            <w:proofErr w:type="spellEnd"/>
            <w:r w:rsidRPr="001C56A0">
              <w:rPr>
                <w:sz w:val="28"/>
                <w:szCs w:val="28"/>
              </w:rPr>
              <w:t xml:space="preserve"> В.Д.</w:t>
            </w:r>
          </w:p>
          <w:p w:rsidR="00DE0FF8" w:rsidRPr="001C56A0" w:rsidRDefault="00DE0FF8" w:rsidP="00A77F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rPr>
          <w:sz w:val="28"/>
          <w:szCs w:val="28"/>
        </w:rPr>
      </w:pPr>
    </w:p>
    <w:p w:rsidR="00DE0FF8" w:rsidRPr="001C56A0" w:rsidRDefault="00DE0FF8" w:rsidP="00DE0FF8">
      <w:pPr>
        <w:jc w:val="center"/>
        <w:rPr>
          <w:sz w:val="28"/>
          <w:szCs w:val="28"/>
        </w:rPr>
      </w:pPr>
      <w:r w:rsidRPr="001C56A0">
        <w:rPr>
          <w:sz w:val="28"/>
          <w:szCs w:val="28"/>
        </w:rPr>
        <w:t>Заявление</w:t>
      </w:r>
    </w:p>
    <w:p w:rsidR="00DE0FF8" w:rsidRPr="001C56A0" w:rsidRDefault="00DE0FF8" w:rsidP="00DE0FF8">
      <w:pPr>
        <w:jc w:val="center"/>
        <w:rPr>
          <w:sz w:val="28"/>
          <w:szCs w:val="28"/>
        </w:rPr>
      </w:pPr>
    </w:p>
    <w:p w:rsidR="00DE0FF8" w:rsidRPr="001C56A0" w:rsidRDefault="00DE0FF8" w:rsidP="00DE0FF8">
      <w:pPr>
        <w:jc w:val="both"/>
        <w:rPr>
          <w:sz w:val="28"/>
          <w:szCs w:val="28"/>
        </w:rPr>
      </w:pPr>
      <w:r w:rsidRPr="001C56A0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>включить в реестр</w:t>
      </w:r>
      <w:r w:rsidRPr="0027421A">
        <w:rPr>
          <w:color w:val="000000"/>
          <w:sz w:val="28"/>
          <w:szCs w:val="28"/>
        </w:rPr>
        <w:t xml:space="preserve"> </w:t>
      </w:r>
      <w:r w:rsidRPr="001C56A0">
        <w:rPr>
          <w:color w:val="000000"/>
          <w:sz w:val="28"/>
          <w:szCs w:val="28"/>
        </w:rPr>
        <w:t>мест (площадок) накопления твердых коммунальных отходов</w:t>
      </w:r>
      <w:r>
        <w:rPr>
          <w:color w:val="000000"/>
          <w:sz w:val="28"/>
          <w:szCs w:val="28"/>
        </w:rPr>
        <w:t xml:space="preserve"> на территории муниципального района Исаклинский Самарской области</w:t>
      </w:r>
      <w:r>
        <w:rPr>
          <w:sz w:val="28"/>
          <w:szCs w:val="28"/>
        </w:rPr>
        <w:t xml:space="preserve"> </w:t>
      </w:r>
      <w:r w:rsidRPr="005F6111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я</w:t>
      </w:r>
      <w:r w:rsidRPr="005F6111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следующем </w:t>
      </w:r>
      <w:r w:rsidRPr="005F6111">
        <w:rPr>
          <w:color w:val="000000"/>
          <w:sz w:val="28"/>
          <w:szCs w:val="28"/>
        </w:rPr>
        <w:t>месте (площадке) накопления твердых коммунальных отходов</w:t>
      </w:r>
      <w:r>
        <w:rPr>
          <w:sz w:val="28"/>
          <w:szCs w:val="28"/>
        </w:rPr>
        <w:t>:</w:t>
      </w:r>
    </w:p>
    <w:p w:rsidR="00DE0FF8" w:rsidRPr="001C56A0" w:rsidRDefault="00DE0FF8" w:rsidP="00DE0FF8">
      <w:pPr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Адрес места (площадки) накопления ТКО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DE0FF8">
            <w:pPr>
              <w:autoSpaceDE w:val="0"/>
              <w:autoSpaceDN w:val="0"/>
              <w:adjustRightInd w:val="0"/>
              <w:ind w:right="884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Географические координаты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Данные о технических характеристиках:</w:t>
            </w: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vMerge w:val="restart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Площадь</w:t>
            </w:r>
          </w:p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Количество контейнеров (бункеров)</w:t>
            </w:r>
          </w:p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Объем контейнера (бункера), куб. м</w:t>
            </w: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vMerge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vMerge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rPr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Собственник места (площадки) накопления ТКО</w:t>
            </w: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Default="00DE0FF8" w:rsidP="00A77F52">
            <w:pPr>
              <w:rPr>
                <w:color w:val="000000"/>
                <w:sz w:val="28"/>
                <w:szCs w:val="28"/>
              </w:rPr>
            </w:pPr>
            <w:r w:rsidRPr="001C56A0">
              <w:rPr>
                <w:color w:val="000000"/>
                <w:sz w:val="28"/>
                <w:szCs w:val="28"/>
              </w:rPr>
              <w:t>Источники образования ТКО</w:t>
            </w:r>
          </w:p>
          <w:p w:rsidR="00DE0FF8" w:rsidRPr="001C56A0" w:rsidRDefault="00DE0FF8" w:rsidP="00A77F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Фирменное наименование заявителя – юридического лица (согласно уставу регулируемой организации)</w:t>
            </w: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Фамилия, Имя и Отчество руководителя </w:t>
            </w: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>основной государственный регистрационный номер регулируемой организации и дата его присвоения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56A0">
              <w:rPr>
                <w:sz w:val="28"/>
                <w:szCs w:val="28"/>
              </w:rPr>
              <w:t>очтовый адрес, контактные телефоны, официальный сайт в сети Интернет и адрес электронной почты</w:t>
            </w:r>
          </w:p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E0FF8" w:rsidRPr="001C56A0" w:rsidTr="00DE0FF8">
        <w:tc>
          <w:tcPr>
            <w:tcW w:w="6946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6A0">
              <w:rPr>
                <w:sz w:val="28"/>
                <w:szCs w:val="28"/>
              </w:rPr>
              <w:t xml:space="preserve">Индивидуальный номер налогоплательщика </w:t>
            </w:r>
          </w:p>
        </w:tc>
        <w:tc>
          <w:tcPr>
            <w:tcW w:w="2977" w:type="dxa"/>
            <w:shd w:val="clear" w:color="auto" w:fill="auto"/>
          </w:tcPr>
          <w:p w:rsidR="00DE0FF8" w:rsidRPr="001C56A0" w:rsidRDefault="00DE0FF8" w:rsidP="00A7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0FF8" w:rsidRPr="001C56A0" w:rsidRDefault="00DE0FF8" w:rsidP="00DE0FF8">
      <w:pPr>
        <w:jc w:val="both"/>
        <w:rPr>
          <w:sz w:val="28"/>
          <w:szCs w:val="28"/>
        </w:rPr>
      </w:pPr>
    </w:p>
    <w:p w:rsidR="00A12A8C" w:rsidRDefault="00DE0FF8" w:rsidP="00DE0FF8">
      <w:pPr>
        <w:jc w:val="center"/>
      </w:pPr>
      <w:r>
        <w:rPr>
          <w:sz w:val="28"/>
          <w:szCs w:val="28"/>
        </w:rPr>
        <w:t>Подпись</w:t>
      </w:r>
    </w:p>
    <w:p w:rsidR="005E5515" w:rsidRDefault="005E5515"/>
    <w:sectPr w:rsidR="005E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C4" w:rsidRDefault="002263C4" w:rsidP="00FA38C4">
      <w:r>
        <w:separator/>
      </w:r>
    </w:p>
  </w:endnote>
  <w:endnote w:type="continuationSeparator" w:id="0">
    <w:p w:rsidR="002263C4" w:rsidRDefault="002263C4" w:rsidP="00F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C4" w:rsidRDefault="002263C4" w:rsidP="00FA38C4">
      <w:r>
        <w:separator/>
      </w:r>
    </w:p>
  </w:footnote>
  <w:footnote w:type="continuationSeparator" w:id="0">
    <w:p w:rsidR="002263C4" w:rsidRDefault="002263C4" w:rsidP="00FA3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527482"/>
      <w:docPartObj>
        <w:docPartGallery w:val="Page Numbers (Top of Page)"/>
        <w:docPartUnique/>
      </w:docPartObj>
    </w:sdtPr>
    <w:sdtContent>
      <w:p w:rsidR="00FA38C4" w:rsidRDefault="00FA38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1D">
          <w:rPr>
            <w:noProof/>
          </w:rPr>
          <w:t>1</w:t>
        </w:r>
        <w:r>
          <w:fldChar w:fldCharType="end"/>
        </w:r>
      </w:p>
    </w:sdtContent>
  </w:sdt>
  <w:p w:rsidR="00FA38C4" w:rsidRDefault="00FA38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8D"/>
    <w:rsid w:val="000641C9"/>
    <w:rsid w:val="000F1384"/>
    <w:rsid w:val="002263C4"/>
    <w:rsid w:val="00246A80"/>
    <w:rsid w:val="002E7401"/>
    <w:rsid w:val="003E125A"/>
    <w:rsid w:val="004613DE"/>
    <w:rsid w:val="005C591D"/>
    <w:rsid w:val="005E5515"/>
    <w:rsid w:val="007750D7"/>
    <w:rsid w:val="008177E4"/>
    <w:rsid w:val="008D1D11"/>
    <w:rsid w:val="0090538D"/>
    <w:rsid w:val="00A12A8C"/>
    <w:rsid w:val="00B162D3"/>
    <w:rsid w:val="00D66F43"/>
    <w:rsid w:val="00D97761"/>
    <w:rsid w:val="00DE0FF8"/>
    <w:rsid w:val="00F64E95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8C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A8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A12A8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A8C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A12A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2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2A8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12A8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A12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4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E7401"/>
    <w:rPr>
      <w:color w:val="0000FF"/>
      <w:u w:val="single"/>
    </w:rPr>
  </w:style>
  <w:style w:type="table" w:styleId="aa">
    <w:name w:val="Table Grid"/>
    <w:basedOn w:val="a1"/>
    <w:uiPriority w:val="59"/>
    <w:rsid w:val="00D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FA38C4"/>
  </w:style>
  <w:style w:type="paragraph" w:styleId="ac">
    <w:name w:val="footer"/>
    <w:basedOn w:val="a"/>
    <w:link w:val="ad"/>
    <w:uiPriority w:val="99"/>
    <w:unhideWhenUsed/>
    <w:rsid w:val="00FA38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3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8C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A8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A12A8C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2A8C"/>
    <w:pPr>
      <w:widowControl w:val="0"/>
      <w:shd w:val="clear" w:color="auto" w:fill="FFFFFF"/>
      <w:spacing w:before="160" w:line="168" w:lineRule="exact"/>
      <w:ind w:hanging="440"/>
      <w:jc w:val="center"/>
    </w:pPr>
    <w:rPr>
      <w:rFonts w:ascii="Arial" w:eastAsia="Arial" w:hAnsi="Arial" w:cs="Arial"/>
      <w:sz w:val="15"/>
      <w:szCs w:val="15"/>
      <w:lang w:eastAsia="en-US"/>
    </w:rPr>
  </w:style>
  <w:style w:type="paragraph" w:styleId="a3">
    <w:name w:val="header"/>
    <w:basedOn w:val="a"/>
    <w:link w:val="a4"/>
    <w:uiPriority w:val="99"/>
    <w:rsid w:val="00A12A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2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2A8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12A8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A12A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74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E7401"/>
    <w:rPr>
      <w:color w:val="0000FF"/>
      <w:u w:val="single"/>
    </w:rPr>
  </w:style>
  <w:style w:type="table" w:styleId="aa">
    <w:name w:val="Table Grid"/>
    <w:basedOn w:val="a1"/>
    <w:uiPriority w:val="59"/>
    <w:rsid w:val="00DE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FA38C4"/>
  </w:style>
  <w:style w:type="paragraph" w:styleId="ac">
    <w:name w:val="footer"/>
    <w:basedOn w:val="a"/>
    <w:link w:val="ad"/>
    <w:uiPriority w:val="99"/>
    <w:unhideWhenUsed/>
    <w:rsid w:val="00FA38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38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93622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19362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936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8AF6-9954-435A-A7F7-65C71A14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2019-04-04T08:03:00Z</cp:lastPrinted>
  <dcterms:created xsi:type="dcterms:W3CDTF">2019-04-03T09:43:00Z</dcterms:created>
  <dcterms:modified xsi:type="dcterms:W3CDTF">2019-04-04T08:35:00Z</dcterms:modified>
</cp:coreProperties>
</file>